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81" w:rsidRDefault="000D4281" w:rsidP="000D4281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Об утверждении материалов по обоснованию расчетных показателей, содержащихся в основной части нормативов градостроительного проектирования поселка Пристень Пристенского района Курской области</w:t>
      </w:r>
    </w:p>
    <w:p w:rsidR="000D4281" w:rsidRDefault="000D4281" w:rsidP="000D4281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Об утверждении материалов по обоснованию расчетных показателей, содержащихся в основной части нормативов градостроительного проектирования поселка Пристень Пристенского района Курской области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РЕШЕНИЕ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  18 октября  2017 года    №  72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утверждении материалов по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обоснованию расчетных показателей,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содержащихся в основной части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нормативов градостроительного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проектирования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Рассмотрев представленные главой поселка Пристень материалы по обоснованию расчетных показателей, содержащихся в основной части нормативов градостроительного проектирования разработанные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п.1.2. статьи 8 Градостроительного кодекса Российской Федерации, Устава муниципального образования, в целях урегулирования градостроительной деятельности на территории поселка Пристень Пристенского района Курской области, Собрание депутатов поселка Пристень РЕШИЛО: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1.Утвердить материалы по обоснованию расчетных показателей, содержащихся в основной части нормативы градостроительного проектирования Ко поселка Пристень Пристенского района Курской области, согласно приложению.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Настоящее решение подлежит опубликованию (обнародованию) и размещению на официальном сайте в сети «Интернет» администрации поселка Пристень.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Собрания депутатов поселка Пристень                                          А.Д.  Бочаров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поселка Пристень                                                                     Т.М. Бурцева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УТВЕРЖДЕНЫ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Решением Собрания депутатов поселка Пристень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  18  октября  2017 г. №72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Ш И Ф Р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2017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8886"/>
      </w:tblGrid>
      <w:tr w:rsidR="000D4281" w:rsidTr="000D4281">
        <w:tc>
          <w:tcPr>
            <w:tcW w:w="96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НОРМАТИВЫ ГРАДОСТРОИТЕЛЬНОГО ПРОЕКТИРОВАНИЯ 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Ш И Ф Р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2017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Содержание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2021"/>
        <w:gridCol w:w="5393"/>
        <w:gridCol w:w="1472"/>
      </w:tblGrid>
      <w:tr w:rsidR="000D4281" w:rsidTr="000D4281">
        <w:trPr>
          <w:tblHeader/>
        </w:trPr>
        <w:tc>
          <w:tcPr>
            <w:tcW w:w="21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Обозначение</w:t>
            </w: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Наименование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Примечание</w:t>
            </w:r>
          </w:p>
        </w:tc>
      </w:tr>
      <w:tr w:rsidR="000D4281" w:rsidTr="000D4281">
        <w:tc>
          <w:tcPr>
            <w:tcW w:w="21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Содержание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0D4281" w:rsidTr="000D4281">
        <w:tc>
          <w:tcPr>
            <w:tcW w:w="21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Состав документации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 w:rsidR="000D4281" w:rsidTr="000D4281">
        <w:tc>
          <w:tcPr>
            <w:tcW w:w="217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Нормативно-правовая база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Расположение в системе расселения и административно-территориальное устройство 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Природно-климатические условия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Система учреждений обслуживания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II. Объекты здравоохранения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III. Объекты физической культуры и спорта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IV. Объекты культуры и искусства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V. Объекты образования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VII. Объекты автомобильного транспорта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VIII. Объекты электроснабжения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IX. Объекты теплоснабжения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X. Объекты газоснабжения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XI. Объекты водоснабжения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XII. Объекты водоотведения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1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Раздел XV. Объекты рекреационного назначения</w:t>
            </w:r>
          </w:p>
        </w:tc>
        <w:tc>
          <w:tcPr>
            <w:tcW w:w="15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Состав документации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1853"/>
        <w:gridCol w:w="4543"/>
        <w:gridCol w:w="1583"/>
      </w:tblGrid>
      <w:tr w:rsidR="000D4281" w:rsidTr="000D4281">
        <w:tc>
          <w:tcPr>
            <w:tcW w:w="9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br/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Номер тома</w:t>
            </w:r>
          </w:p>
        </w:tc>
        <w:tc>
          <w:tcPr>
            <w:tcW w:w="20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Обозначение</w:t>
            </w:r>
          </w:p>
        </w:tc>
        <w:tc>
          <w:tcPr>
            <w:tcW w:w="53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2"/>
              <w:spacing w:before="0" w:beforeAutospacing="0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</w:rPr>
              <w:t>Наименование</w:t>
            </w:r>
          </w:p>
        </w:tc>
        <w:tc>
          <w:tcPr>
            <w:tcW w:w="16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Примечание</w:t>
            </w:r>
          </w:p>
        </w:tc>
      </w:tr>
      <w:tr w:rsidR="000D4281" w:rsidTr="000D4281">
        <w:tc>
          <w:tcPr>
            <w:tcW w:w="9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0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3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Основная часть проекта. Правила и область применения</w:t>
            </w:r>
          </w:p>
        </w:tc>
        <w:tc>
          <w:tcPr>
            <w:tcW w:w="16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книга, 2 экз.</w:t>
            </w:r>
          </w:p>
        </w:tc>
      </w:tr>
      <w:tr w:rsidR="000D4281" w:rsidTr="000D4281">
        <w:tc>
          <w:tcPr>
            <w:tcW w:w="9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0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3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6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книга, 2 экз.</w:t>
            </w:r>
          </w:p>
        </w:tc>
      </w:tr>
      <w:tr w:rsidR="000D4281" w:rsidTr="000D4281">
        <w:tc>
          <w:tcPr>
            <w:tcW w:w="9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0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3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6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c>
          <w:tcPr>
            <w:tcW w:w="9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0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3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CD – диск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lastRenderedPageBreak/>
              <w:t>- в виде файлов в формате Acrobat Reader;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6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2 диска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Проект выполнен в соответствии с действующими нормами, правилами и стандартами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ГАП                                                                                                                          _________________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Нормативно-правовая база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Федеральные законы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ü    Градостроительный кодекс Российской Федерации от 29 декабря 2004 года № 190-ФЗ;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Земельный кодекс Российской Федерации от 25 октября 2001 года № 136-ФЗ;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Жилищный кодекс Российской Федерации от 29 декабря 2004 года № 188-ФЗ;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Водный кодекс Российской Федерации от 3 июня 2006 года № 74-ФЗ;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Лесной кодекс Российской Федерации от 4 декабря 2006 года № 200-ФЗ;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14 марта 1995 года № 33-ФЗ «Об особо охраняемых природных территориях»;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12 января 1996 года № 8-ФЗ «О погребении и похоронном деле»;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24 июня 1998 года № 89-ФЗ «Об отходах производства и потребления»;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30 марта 1999 года № 52-Ф3 «О санитарно-эпидемиологическом благополучии населения»;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4 мая 1999 года № 96-Ф3 «Об охране атмосферного воздуха»;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10 января 2002 года № 7-ФЗ «Об охране окружающей среды»;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27 декабря 2002 года № 184-ФЗ «О техническом регулировании»;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4 декабря 2007 № 329 «О физической культуре и спорте»;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27 июля 2010 года № 190-ФЗ «О теплоснабжении»;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Федеральный закон от 7 декабря 2011 года № 416-ФЗ «О водоснабжении и водоотведении».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Иные нормативные акты Российской Федерации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Распоряжение Правительства Российской Федерации от 3 июля 1996 года № 1063-р «О социальных нормативах и нормах»;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   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Законодательные и нормативные акты Курской области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 Закон Курской области от 01.12.2004 № 60-ЗКО «О границах муниципальных образований Курской области»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ü  Закон Курской области от 31.10.2006 № 76-ЗКО «О градостроительной деятельности в Курской  области»;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ü  Закон Курской области от 22 ноября 2007 года № 118-ЗКО «Об особо охраняемых природных территориях Курской области».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Строительные нормы и правила (СНиП). Своды правил по проектированию и строительству (СП)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  Приказом Министерства спорта Российской Федерации от 25 мая 2016 г. №586.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  <w:hyperlink r:id="rId8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Правила</w:t>
        </w:r>
      </w:hyperlink>
      <w:r>
        <w:rPr>
          <w:rFonts w:ascii="Segoe UI" w:hAnsi="Segoe UI" w:cs="Segoe UI"/>
          <w:color w:val="333333"/>
          <w:sz w:val="14"/>
          <w:szCs w:val="14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hyperlink r:id="rId9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СанПиН 42-128-4690-88</w:t>
        </w:r>
      </w:hyperlink>
      <w:r>
        <w:rPr>
          <w:rFonts w:ascii="Segoe UI" w:hAnsi="Segoe UI" w:cs="Segoe UI"/>
          <w:color w:val="333333"/>
          <w:sz w:val="14"/>
          <w:szCs w:val="14"/>
        </w:rPr>
        <w:t>. Санитарные правила содержания территорий населенных мест.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hyperlink r:id="rId10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СанПиН 2.1.2882-11</w:t>
        </w:r>
      </w:hyperlink>
      <w:r>
        <w:rPr>
          <w:rFonts w:ascii="Segoe UI" w:hAnsi="Segoe UI" w:cs="Segoe UI"/>
          <w:color w:val="333333"/>
          <w:sz w:val="14"/>
          <w:szCs w:val="14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hyperlink r:id="rId11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СП 2.1.7.1038-01</w:t>
        </w:r>
      </w:hyperlink>
      <w:r>
        <w:rPr>
          <w:rFonts w:ascii="Segoe UI" w:hAnsi="Segoe UI" w:cs="Segoe UI"/>
          <w:color w:val="333333"/>
          <w:sz w:val="14"/>
          <w:szCs w:val="14"/>
        </w:rPr>
        <w:t>. Гигиенические требования к устройству и содержанию полигонов для твердых бытовых отходов.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СП 131.13330.2012 Строительная климатология. Актуализированная редакция СНиП 23-01-99*.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Цели и задачи Местных нормативов градостроительного проектирования (МНГП)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Местные нормативы градостроительного проектирования поселка Пристень Пристенского  района Курской  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 Закона Курской  области от 31.10.2006 № 76-ЗКО «О градостроительной деятельности в Курской области», населения поселка Пристень  и расчетные показатели максимально допустимого уровня территориальной доступности таких объектов для населения поселка Пристень.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а) электро-, тепло-, газо- и водоснабжение населения, водоотведение;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б) автомобильные дороги местного значения;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г) иные области в связи с решением вопросов местного значения поселения, городского округа.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Законом Курской области от 31.10.2006 №76-ЗКО «О градостроительной деятельности в Курской  области» статья 16  установлены объекты местного значения для поселения.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1) объекты, находящиеся в собственности муниципального образования;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2) объекты водоотведения, электро-, тепло-, газо-, водоснабжения населения муниципального образования;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3) автомобильные дороги и сооружения на них в границах муниципального образования;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данном проекте Местных нормативов градостроительного проектирования поселка Пристень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 требованиям технических регламентов.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Основными задачами проекта МНГП являются: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1) проведение комплексного анализа территории муниципального образования;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2) расчет с учетом проведенного анализа: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показателей территориальной доступности таких объектов для населения муниципального образования;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Расположение и природно-климатические условия поселка Пристень Пристенского района Курской области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Расположение в системе расселения и административно-территориальное устройство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Муниципальное образование «поселок Пристень» (далее – поселок Пристень) является административным центром Пристенского района Курской области.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Поселок обладает выгодным географическим положением, которое обусловлено следующими причинами: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      поселок расположен в 78 км к юго-востоку от Курска (в 78 км до ж/д станции  Курск и в 106 км от Курска по автомобильным дорогам);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      расстояние до Обояни по автостраде Курск – Харьков составляет 46 км;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      поселок расположен на пересечении двух железнодорожных магистралей Курск – Белгород и Ржава – Обоянь.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Также через поселок проходят следующие автомобильные трасы:</w:t>
      </w:r>
    </w:p>
    <w:p w:rsidR="000D4281" w:rsidRDefault="000D4281" w:rsidP="0030110C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Пристень – Обоянь – Курск;</w:t>
      </w:r>
    </w:p>
    <w:p w:rsidR="000D4281" w:rsidRDefault="000D4281" w:rsidP="0030110C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Пристень – Солнцево – Курск/Воронеж;</w:t>
      </w:r>
    </w:p>
    <w:p w:rsidR="000D4281" w:rsidRDefault="000D4281" w:rsidP="0030110C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Пристень – Прохоровка – Белгород.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Поверхность поселка представляет холмистую равнину, изрезанную оврагами.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Климат умеренно-континентальный, характеризуемый довольно продолжительным летом и относительно холодной зимой.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 характеру растительности поселок относится к лесостепной зоне.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 северной стороны поселок Пристень граничит с муниципальным образованием «поселок Кировский», с восточной и южной сторон – с Ярыгинским сельсоветом, с западной стороны – с Ярыгинским и Нагольненским сельсоветами.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1 – Сведения о населенных пунктах поселок Пристень Пристенского района Курской области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2791"/>
        <w:gridCol w:w="2951"/>
        <w:gridCol w:w="2516"/>
      </w:tblGrid>
      <w:tr w:rsidR="000D4281" w:rsidTr="000D4281">
        <w:tc>
          <w:tcPr>
            <w:tcW w:w="6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Население на 01.01.2017 г.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Расстояние до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Центра  МО, км.</w:t>
            </w:r>
          </w:p>
        </w:tc>
      </w:tr>
      <w:tr w:rsidR="000D4281" w:rsidTr="000D4281">
        <w:tc>
          <w:tcPr>
            <w:tcW w:w="6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8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Поселок Пристень</w:t>
            </w:r>
          </w:p>
        </w:tc>
        <w:tc>
          <w:tcPr>
            <w:tcW w:w="30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5122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D4281" w:rsidTr="000D4281">
        <w:tc>
          <w:tcPr>
            <w:tcW w:w="6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8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5122</w:t>
            </w:r>
          </w:p>
        </w:tc>
        <w:tc>
          <w:tcPr>
            <w:tcW w:w="25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Природно-климатические условия</w:t>
      </w:r>
    </w:p>
    <w:p w:rsidR="000D4281" w:rsidRDefault="000D4281" w:rsidP="0030110C">
      <w:pPr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Поселок Пристень расположен в лесостепной зоне Евразиатской степной области, в зоне умеренно-континентального климата, характеризуемой довольно продолжительным летом и относительно холодной зимой. По схематической карте климатического районирования для строительства территории России поселок приурочен к району II, подрайону II В.</w:t>
      </w:r>
    </w:p>
    <w:p w:rsidR="000D4281" w:rsidRDefault="000D4281" w:rsidP="0030110C">
      <w:pPr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зимнее время средняя температура днем составляет –5○С, –9○С, ночью до –2○С, морозы до –23○С, –24○С. В летнее время средняя температура днем составляет +19○С, +24○С, ночью до +14○С,+16○С.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Среднегодовая температура воздуха составляет +5,5оС, абсолютный минимум температур составляет  –38оС (январь – февраль), абсолютный максимум  - +37оС (август).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Среднегодовое количество осадков составляет 484 мм. Летние осадки выпадают, в основном в виде ливней, иногда с градом и шквалистым ветром.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среднем 1 раз в 3-4 года случаются засухи продолжительностью 9-15 дней. Зимой наблюдается гололед.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Также на территории поселка наблюдаются поздние весенние заморозки в мае, иногда – в июне.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Устойчивый снежный покров образуется в первой декаде декабря и держится в среднем 120 дней. Высота снежного покрова достигает 20 см, глубина промерзания почвы 30-60 см. Интенсивность выпадения осадков составляет от 0,5 до 1 месячной нормы, частота таких проявлений  1-3 случая в зимний период. Направление движения осадков совпадает с направлением движения ветров. При скоростях ветра более 6 м/сек возникают метели.  Сроки начала весеннего снеготаяния приходятся в среднем на вторую- третью декаду марта.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Летом преобладают ветра западного и юго-западного направлений, зимой – восточного и юго-восточного. Среднегодовая скорость ветра составляет 4,4 м/сек.</w:t>
      </w:r>
    </w:p>
    <w:p w:rsidR="000D4281" w:rsidRDefault="000D4281" w:rsidP="0030110C">
      <w:pPr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целом климат благоприятен для проживания, отдыха и сельского хозяйства.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Социально-демографический состав и плотность населения на территории поселка Пристень Пристенског района Курской  области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Численность населения поселка Пристень на 01.01.2011 составила 5 079 человек.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1 – Динамика численности населения п. Пристень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988"/>
        <w:gridCol w:w="988"/>
        <w:gridCol w:w="988"/>
        <w:gridCol w:w="987"/>
        <w:gridCol w:w="987"/>
        <w:gridCol w:w="987"/>
        <w:gridCol w:w="987"/>
        <w:gridCol w:w="987"/>
        <w:gridCol w:w="987"/>
      </w:tblGrid>
      <w:tr w:rsidR="000D4281" w:rsidTr="000D4281"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1989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2003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2004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2005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2006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2007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2008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2009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2010</w:t>
            </w:r>
          </w:p>
        </w:tc>
      </w:tr>
      <w:tr w:rsidR="000D4281" w:rsidTr="000D4281"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5589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5570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5488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5424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5351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5278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5222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5167</w:t>
            </w:r>
          </w:p>
        </w:tc>
        <w:tc>
          <w:tcPr>
            <w:tcW w:w="10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5079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Как видно из таблицы, на протяжении последних лет численность населения поселка имеет устойчивую тенденцию к сокращению. В 2010 году данный показатель сократился на 510 человек (9,13%) по отношению к 1989 году и на 491 человека (8,82%) – по отношению к 2003.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2 – Данные о естественном движении населения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306"/>
        <w:gridCol w:w="1361"/>
        <w:gridCol w:w="1392"/>
        <w:gridCol w:w="1287"/>
        <w:gridCol w:w="1269"/>
        <w:gridCol w:w="1142"/>
        <w:gridCol w:w="1129"/>
      </w:tblGrid>
      <w:tr w:rsidR="000D4281" w:rsidTr="000D4281">
        <w:tc>
          <w:tcPr>
            <w:tcW w:w="141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Годы</w:t>
            </w:r>
          </w:p>
        </w:tc>
        <w:tc>
          <w:tcPr>
            <w:tcW w:w="426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Всего, человек</w:t>
            </w:r>
          </w:p>
        </w:tc>
        <w:tc>
          <w:tcPr>
            <w:tcW w:w="36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На 1000 человек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14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родив</w:t>
            </w:r>
            <w:r>
              <w:rPr>
                <w:color w:val="333333"/>
              </w:rPr>
              <w:softHyphen/>
              <w:t>шихся</w:t>
            </w:r>
          </w:p>
        </w:tc>
        <w:tc>
          <w:tcPr>
            <w:tcW w:w="14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умерших</w:t>
            </w:r>
          </w:p>
        </w:tc>
        <w:tc>
          <w:tcPr>
            <w:tcW w:w="13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естест</w:t>
            </w:r>
            <w:r>
              <w:rPr>
                <w:color w:val="333333"/>
              </w:rPr>
              <w:softHyphen/>
              <w:t>венный прирост</w:t>
            </w:r>
          </w:p>
        </w:tc>
        <w:tc>
          <w:tcPr>
            <w:tcW w:w="13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родив</w:t>
            </w:r>
            <w:r>
              <w:rPr>
                <w:color w:val="333333"/>
              </w:rPr>
              <w:softHyphen/>
              <w:t>шихся</w:t>
            </w:r>
          </w:p>
        </w:tc>
        <w:tc>
          <w:tcPr>
            <w:tcW w:w="11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умерших</w:t>
            </w:r>
          </w:p>
        </w:tc>
        <w:tc>
          <w:tcPr>
            <w:tcW w:w="11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естест</w:t>
            </w:r>
            <w:r>
              <w:rPr>
                <w:color w:val="333333"/>
              </w:rPr>
              <w:softHyphen/>
              <w:t>венный прирост</w:t>
            </w:r>
          </w:p>
        </w:tc>
      </w:tr>
      <w:tr w:rsidR="000D4281" w:rsidTr="000D4281"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1989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16,9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15,4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1,6</w:t>
            </w:r>
          </w:p>
        </w:tc>
      </w:tr>
      <w:tr w:rsidR="000D4281" w:rsidTr="000D4281"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-41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12,2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-8,1</w:t>
            </w:r>
          </w:p>
        </w:tc>
      </w:tr>
      <w:tr w:rsidR="000D4281" w:rsidTr="000D4281"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-25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11,8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16,7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-4,9</w:t>
            </w:r>
          </w:p>
        </w:tc>
      </w:tr>
      <w:tr w:rsidR="000D4281" w:rsidTr="000D4281"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-41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10,8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18,9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-8,1</w:t>
            </w:r>
          </w:p>
        </w:tc>
      </w:tr>
      <w:tr w:rsidR="000D4281" w:rsidTr="000D4281"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-36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18,1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-7,1</w:t>
            </w:r>
          </w:p>
        </w:tc>
      </w:tr>
      <w:tr w:rsidR="000D4281" w:rsidTr="000D4281"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13,6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17,1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-3,5</w:t>
            </w:r>
          </w:p>
        </w:tc>
      </w:tr>
      <w:tr w:rsidR="000D4281" w:rsidTr="000D4281"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-22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11,8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16,1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-4,3</w:t>
            </w:r>
          </w:p>
        </w:tc>
      </w:tr>
      <w:tr w:rsidR="000D4281" w:rsidTr="000D4281"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-42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11,6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19,9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-8,3</w:t>
            </w:r>
          </w:p>
        </w:tc>
      </w:tr>
      <w:tr w:rsidR="000D4281" w:rsidTr="000D4281"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-26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15,2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-5,1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Естественный прирост населения в поселке на протяжении последних 8 лет остается отрицательным и колеблется в пределах от -18 в 2007 году до -42 в 2009.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Рождаемость на протяжении рассматриваемого периода значительно не изменяется и колеблется в пределах от 55 (10,8 чел./тыс. населения) в 2005 году до 69 человек (19,9 чел./тыс. населения) в 2007. По отношению к 1989 году рождаемость в 2010 году снизилась на 25 человек.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 снижение уровня рождаемости влияет ряд факторов, основными из которых являются: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      устойчивая тенденция к снижению рождаемости, характеризуемая снижением количества детей, приходящихся на 1 женщину;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      нестабильность экономики;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      социально-бытовые условия.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Уровень смертности по данным органов статистики также находится на стабильном уровне и колеблется в пределах от 82 (16,1 чел./тыс. населения) в 2008 году до 103 человек (20,3 чел./тыс. населения) в 2003. Основной причиной смертности являются болезни органов пищеварения.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3- Данные о механическом (миграционном) приросте населения п. Пристень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303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</w:tblGrid>
      <w:tr w:rsidR="000D4281" w:rsidTr="000D4281">
        <w:tc>
          <w:tcPr>
            <w:tcW w:w="32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1989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2003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2004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2005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2006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2007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2008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2009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2010</w:t>
            </w:r>
          </w:p>
        </w:tc>
      </w:tr>
      <w:tr w:rsidR="000D4281" w:rsidTr="000D4281">
        <w:tc>
          <w:tcPr>
            <w:tcW w:w="32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Миграционный прирост (отток)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-42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-41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-32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-37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-38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-33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-46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-27</w:t>
            </w:r>
          </w:p>
        </w:tc>
      </w:tr>
      <w:tr w:rsidR="000D4281" w:rsidTr="000D4281">
        <w:tc>
          <w:tcPr>
            <w:tcW w:w="32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 1000 жителей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2,5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-7,5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-7,5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-5,9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-6,9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-7,2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-6,3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-8,9</w:t>
            </w:r>
          </w:p>
        </w:tc>
        <w:tc>
          <w:tcPr>
            <w:tcW w:w="6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-5,3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1989 году миграционный прирост был положительным и составлял 14 человек (2,5 чел./тыс. населения). На протяжении последних 8 лет на территории поселка наблюдается существенный отток населения. В 2010 году показатель миграционного оттока составил 27 человек (5,3 чел./тыс. населения).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4- Возрастная структура населения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124"/>
        <w:gridCol w:w="997"/>
        <w:gridCol w:w="874"/>
        <w:gridCol w:w="559"/>
        <w:gridCol w:w="576"/>
        <w:gridCol w:w="964"/>
        <w:gridCol w:w="846"/>
        <w:gridCol w:w="942"/>
        <w:gridCol w:w="826"/>
        <w:gridCol w:w="1108"/>
        <w:gridCol w:w="70"/>
      </w:tblGrid>
      <w:tr w:rsidR="000D4281" w:rsidTr="000D4281">
        <w:trPr>
          <w:trHeight w:val="345"/>
        </w:trPr>
        <w:tc>
          <w:tcPr>
            <w:tcW w:w="112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Годы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Моложе трудоспособного возраста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 том числе дети 1-6 лет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Трудоспособного возраста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Старше трудоспособного возраста</w:t>
            </w:r>
          </w:p>
        </w:tc>
        <w:tc>
          <w:tcPr>
            <w:tcW w:w="97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Все население, чел.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510"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85"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90"/>
        </w:trPr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1989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1354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24,2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1275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22,8</w:t>
            </w:r>
          </w:p>
        </w:tc>
        <w:tc>
          <w:tcPr>
            <w:tcW w:w="9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5589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spacing w:line="90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180"/>
        </w:trPr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1106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19,9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286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5,1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3329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59,8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1135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20,4</w:t>
            </w:r>
          </w:p>
        </w:tc>
        <w:tc>
          <w:tcPr>
            <w:tcW w:w="9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5570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spacing w:line="180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40"/>
        </w:trPr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1049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19,1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279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5,1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3344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60,9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1095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5488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120"/>
        </w:trPr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990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18,3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289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3332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61,4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5424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spacing w:line="120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120"/>
        </w:trPr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396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7,4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5,6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3320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62,0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1095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20,5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5351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spacing w:line="120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180"/>
        </w:trPr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899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17,0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5,7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3296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62,4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1083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20,5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5278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spacing w:line="180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25"/>
        </w:trPr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874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16,7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5,9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3256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62,4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1092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20,9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5222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spacing w:line="225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70"/>
        </w:trPr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837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16,2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330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6,4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3231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62,5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1099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21,3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5167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135"/>
        </w:trPr>
        <w:tc>
          <w:tcPr>
            <w:tcW w:w="11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814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333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6,6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3176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62,5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1089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21,4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5079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spacing w:line="135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возрастной структуре населения следует выделить следующие тенденции:</w:t>
      </w:r>
    </w:p>
    <w:p w:rsidR="000D4281" w:rsidRDefault="000D4281" w:rsidP="0030110C">
      <w:pPr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сокращение доли населения моложе трудоспособного возраста при одновременном увеличении доли детей в возрасте от 1 до 6 лет (с 5,1% в 2003 году до 6,6% в 2010);</w:t>
      </w:r>
    </w:p>
    <w:p w:rsidR="000D4281" w:rsidRDefault="000D4281" w:rsidP="0030110C">
      <w:pPr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доля населения в трудоспособном возрасте находится на относительно стабильном уровне и в среднем составляет 61,8%;</w:t>
      </w:r>
    </w:p>
    <w:p w:rsidR="000D4281" w:rsidRDefault="000D4281" w:rsidP="0030110C">
      <w:pPr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незначительное увеличение  удельного веса населения старше трудоспособного возраста с 20,4 в 2003 году до 21,4 в 2010.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 5 – Половая структура населения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710"/>
        <w:gridCol w:w="1593"/>
        <w:gridCol w:w="1396"/>
        <w:gridCol w:w="1441"/>
        <w:gridCol w:w="1266"/>
        <w:gridCol w:w="1410"/>
        <w:gridCol w:w="70"/>
      </w:tblGrid>
      <w:tr w:rsidR="000D4281" w:rsidTr="000D4281">
        <w:trPr>
          <w:trHeight w:val="345"/>
        </w:trPr>
        <w:tc>
          <w:tcPr>
            <w:tcW w:w="171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Годы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Мужчины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Женщины</w:t>
            </w:r>
          </w:p>
        </w:tc>
        <w:tc>
          <w:tcPr>
            <w:tcW w:w="141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Все население, чел.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345"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300"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%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40"/>
        </w:trPr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1989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2520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45,1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3069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54,9</w:t>
            </w:r>
          </w:p>
        </w:tc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5589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55"/>
        </w:trPr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2533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45,5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3037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54,5</w:t>
            </w:r>
          </w:p>
        </w:tc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5570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150"/>
        </w:trPr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2494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45,4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2994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54,6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5488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spacing w:line="150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10"/>
        </w:trPr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2967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54,7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2967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54,7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5424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spacing w:line="210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55"/>
        </w:trPr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2417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45,2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2934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54,8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5351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85"/>
        </w:trPr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2364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44,8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2914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55,2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5278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70"/>
        </w:trPr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2341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44,8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2881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55,2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5222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70"/>
        </w:trPr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2325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2842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5167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120"/>
        </w:trPr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2291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45,1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2788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54,9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5079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spacing w:line="120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Половая структура поселка остается относительно стабильной. Средние показатели половой структуры населения: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      женщин 54,9% от общей численности населения;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      мужчин 46,3% от общей численности населения.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Средний состав семьи – 2,4 человека.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2 – Численность населения в границах поселка Пристень  по данным переписей населения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443"/>
        <w:gridCol w:w="4443"/>
      </w:tblGrid>
      <w:tr w:rsidR="000D4281" w:rsidTr="000D4281"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год</w:t>
            </w:r>
          </w:p>
        </w:tc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тыс.чел.</w:t>
            </w:r>
          </w:p>
        </w:tc>
      </w:tr>
      <w:tr w:rsidR="000D4281" w:rsidTr="000D4281"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2013</w:t>
            </w:r>
          </w:p>
        </w:tc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5150</w:t>
            </w:r>
          </w:p>
        </w:tc>
      </w:tr>
      <w:tr w:rsidR="000D4281" w:rsidTr="000D4281"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5099</w:t>
            </w:r>
          </w:p>
        </w:tc>
      </w:tr>
      <w:tr w:rsidR="000D4281" w:rsidTr="000D4281"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5148</w:t>
            </w:r>
          </w:p>
        </w:tc>
      </w:tr>
      <w:tr w:rsidR="000D4281" w:rsidTr="000D4281"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5078</w:t>
            </w:r>
          </w:p>
        </w:tc>
      </w:tr>
      <w:tr w:rsidR="000D4281" w:rsidTr="000D4281"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5122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3 – Динамика численности населения поселка Пристень  (на начало года)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2564"/>
        <w:gridCol w:w="1466"/>
        <w:gridCol w:w="1374"/>
        <w:gridCol w:w="1100"/>
        <w:gridCol w:w="1191"/>
        <w:gridCol w:w="1191"/>
      </w:tblGrid>
      <w:tr w:rsidR="000D4281" w:rsidTr="000D4281">
        <w:tc>
          <w:tcPr>
            <w:tcW w:w="1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Нас.пункт/год</w:t>
            </w:r>
          </w:p>
        </w:tc>
        <w:tc>
          <w:tcPr>
            <w:tcW w:w="8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2013 г.</w:t>
            </w:r>
          </w:p>
        </w:tc>
        <w:tc>
          <w:tcPr>
            <w:tcW w:w="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2014 г.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2015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2016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2017</w:t>
            </w:r>
          </w:p>
        </w:tc>
      </w:tr>
      <w:tr w:rsidR="000D4281" w:rsidTr="000D4281">
        <w:tc>
          <w:tcPr>
            <w:tcW w:w="1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</w:tr>
      <w:tr w:rsidR="000D4281" w:rsidTr="000D4281">
        <w:tc>
          <w:tcPr>
            <w:tcW w:w="1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П. Пристень</w:t>
            </w:r>
          </w:p>
        </w:tc>
        <w:tc>
          <w:tcPr>
            <w:tcW w:w="8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5150</w:t>
            </w:r>
          </w:p>
        </w:tc>
        <w:tc>
          <w:tcPr>
            <w:tcW w:w="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5099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5148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5078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5122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Плотность населения на 01.01.2014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4 – Плотность населения в границах населенных пунктов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2834"/>
        <w:gridCol w:w="3339"/>
        <w:gridCol w:w="2713"/>
      </w:tblGrid>
      <w:tr w:rsidR="000D4281" w:rsidTr="000D4281">
        <w:tc>
          <w:tcPr>
            <w:tcW w:w="24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Территория</w:t>
            </w:r>
          </w:p>
        </w:tc>
        <w:tc>
          <w:tcPr>
            <w:tcW w:w="28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Площадь в границах кадастровых кварталов, га</w:t>
            </w:r>
          </w:p>
        </w:tc>
        <w:tc>
          <w:tcPr>
            <w:tcW w:w="23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Плотность населения, чел/га</w:t>
            </w:r>
          </w:p>
        </w:tc>
      </w:tr>
      <w:tr w:rsidR="000D4281" w:rsidTr="000D4281">
        <w:tc>
          <w:tcPr>
            <w:tcW w:w="24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Поселок Пристень</w:t>
            </w:r>
          </w:p>
        </w:tc>
        <w:tc>
          <w:tcPr>
            <w:tcW w:w="28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6,1</w:t>
            </w:r>
          </w:p>
        </w:tc>
        <w:tc>
          <w:tcPr>
            <w:tcW w:w="23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1155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Анализ планов и программ комплексного социально-экономического развития поселка Пристень Пристенского района Курской  области</w:t>
      </w:r>
    </w:p>
    <w:p w:rsidR="000D4281" w:rsidRDefault="000D4281" w:rsidP="000D4281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- Программа комплексного развития социальной инфраструктуры   муниципального образования «поселок Пристень»</w:t>
      </w:r>
      <w:r>
        <w:rPr>
          <w:rFonts w:ascii="Segoe UI" w:hAnsi="Segoe UI" w:cs="Segoe UI"/>
          <w:b w:val="0"/>
          <w:bCs w:val="0"/>
          <w:color w:val="333333"/>
        </w:rPr>
        <w:br/>
        <w:t>Пристенского района Курской области</w:t>
      </w:r>
      <w:r>
        <w:rPr>
          <w:rFonts w:ascii="Segoe UI" w:hAnsi="Segoe UI" w:cs="Segoe UI"/>
          <w:b w:val="0"/>
          <w:bCs w:val="0"/>
          <w:color w:val="333333"/>
        </w:rPr>
        <w:br/>
        <w:t>на 2016- 2031 годы;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Программа комплексного развития транспортной инфраструктуры</w:t>
      </w:r>
      <w:r>
        <w:rPr>
          <w:rFonts w:ascii="Segoe UI" w:hAnsi="Segoe UI" w:cs="Segoe UI"/>
          <w:color w:val="333333"/>
          <w:sz w:val="14"/>
          <w:szCs w:val="14"/>
        </w:rPr>
        <w:br/>
        <w:t>муниципального образования «поселок Пристень» Пристенского района  Курской области на 2016-2031 годы;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программа муниципального образования «поселок Пристень» «Совершенствование защиты населения и территории поселка Пристень Пристенского района от чрезвычайных ситуаций, обеспечение пожарной безопасности на 2017 – 2019 годы;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программа «Развитие транспортной системы, обеспечение перевозки пассажиров в поселке Пристень Пристенского района Курской области и безопасности дорожного движения на 2017 – 2022 годы;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программа «Обеспечение доступным и комфортным жильем и коммунальными услугами граждан в поселке Пристень Пристенского района Курской области;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целевая программа 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2017-2019 годы»;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программ поселка Пристень Пристенского района Курской области  «Социальная поддержка граждан» на 2015 – 2020 годы.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Система учреждений обслуживания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Как правило, социально-культурные объекты размещают по принципу ступенчатости. 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поселка Пристень. Учреждения эпизодического пользования преимущественно размещаются в районном центре обслуживания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I. Объекты муниципального жилищного фонда поселка Пристень Пристенского района Курской области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1. Расчетный показатель минимально допустимого уровня обеспеченности жилыми помещениями муниципального жилищного фонда поселка Пристень, предоставляемыми по договорам социального найма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4) иных граждан в случаях, предусмотренных законодательством.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Расчетные показатели максимально допустимого уровня территориальной доступности объектов муниципального жилищного фонда поселка Пристень.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УЧРЕЖДЕНИЯ И ПРЕДПРИЯТИЯ ОБСЛУЖИВАНИЯ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II. Объекты здравоохранения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839"/>
        <w:gridCol w:w="2673"/>
        <w:gridCol w:w="2209"/>
        <w:gridCol w:w="2165"/>
      </w:tblGrid>
      <w:tr w:rsidR="000D4281" w:rsidTr="000D4281"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Единица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измерения</w:t>
            </w:r>
          </w:p>
        </w:tc>
        <w:tc>
          <w:tcPr>
            <w:tcW w:w="31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Величина</w:t>
            </w:r>
          </w:p>
        </w:tc>
        <w:tc>
          <w:tcPr>
            <w:tcW w:w="24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Посещений в смену на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тыс. чел.</w:t>
            </w:r>
          </w:p>
        </w:tc>
        <w:tc>
          <w:tcPr>
            <w:tcW w:w="31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18,15</w:t>
            </w:r>
          </w:p>
        </w:tc>
        <w:tc>
          <w:tcPr>
            <w:tcW w:w="241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0D4281" w:rsidTr="000D4281"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Больничные учреждения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Коек на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тыс. чел.</w:t>
            </w:r>
          </w:p>
        </w:tc>
        <w:tc>
          <w:tcPr>
            <w:tcW w:w="31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13,47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Станции скорой медицинской помощи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Специальный автомобиль</w:t>
            </w:r>
          </w:p>
        </w:tc>
        <w:tc>
          <w:tcPr>
            <w:tcW w:w="31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на 10 тыс. чел</w:t>
            </w:r>
          </w:p>
        </w:tc>
        <w:tc>
          <w:tcPr>
            <w:tcW w:w="241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0D4281" w:rsidTr="000D4281"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Аптеки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Объект</w:t>
            </w:r>
          </w:p>
        </w:tc>
        <w:tc>
          <w:tcPr>
            <w:tcW w:w="31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на 6,2 тыс. чел. -  в сельских насел. пунктах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на 10 тыс. чел. – в городах до 50 тыс. чел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Выдвижные пункты скорой медицинской помощи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Специальный автомобиль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мин</w:t>
            </w:r>
          </w:p>
        </w:tc>
        <w:tc>
          <w:tcPr>
            <w:tcW w:w="31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на 5 тыс чел. сельского поселения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24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0D4281" w:rsidTr="000D4281"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Объект</w:t>
            </w:r>
          </w:p>
        </w:tc>
        <w:tc>
          <w:tcPr>
            <w:tcW w:w="31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</w:t>
            </w:r>
          </w:p>
        </w:tc>
        <w:tc>
          <w:tcPr>
            <w:tcW w:w="24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Не установлены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2063"/>
        <w:gridCol w:w="1791"/>
        <w:gridCol w:w="2118"/>
        <w:gridCol w:w="2914"/>
      </w:tblGrid>
      <w:tr w:rsidR="000D4281" w:rsidTr="000D4281"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Наименование объектов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Единица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измерения</w:t>
            </w:r>
          </w:p>
        </w:tc>
        <w:tc>
          <w:tcPr>
            <w:tcW w:w="24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Величина</w:t>
            </w:r>
          </w:p>
        </w:tc>
        <w:tc>
          <w:tcPr>
            <w:tcW w:w="31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</w:p>
        </w:tc>
        <w:tc>
          <w:tcPr>
            <w:tcW w:w="24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1000</w:t>
            </w:r>
          </w:p>
        </w:tc>
        <w:tc>
          <w:tcPr>
            <w:tcW w:w="312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0D4281" w:rsidTr="000D4281"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Аптеки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</w:p>
        </w:tc>
        <w:tc>
          <w:tcPr>
            <w:tcW w:w="24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800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мин</w:t>
            </w:r>
          </w:p>
        </w:tc>
        <w:tc>
          <w:tcPr>
            <w:tcW w:w="24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 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 изменениями и дополнениями от: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III. Объекты физической культуры и спорта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794"/>
        <w:gridCol w:w="1939"/>
        <w:gridCol w:w="3449"/>
      </w:tblGrid>
      <w:tr w:rsidR="000D4281" w:rsidTr="000D4281">
        <w:tc>
          <w:tcPr>
            <w:tcW w:w="17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Наименование</w:t>
            </w:r>
          </w:p>
        </w:tc>
        <w:tc>
          <w:tcPr>
            <w:tcW w:w="19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Значение</w:t>
            </w:r>
          </w:p>
        </w:tc>
        <w:tc>
          <w:tcPr>
            <w:tcW w:w="36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17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Спортивные залы</w:t>
            </w:r>
          </w:p>
        </w:tc>
        <w:tc>
          <w:tcPr>
            <w:tcW w:w="19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м2площади пола на 1 тыс. чел.</w:t>
            </w:r>
          </w:p>
        </w:tc>
        <w:tc>
          <w:tcPr>
            <w:tcW w:w="20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60-80</w:t>
            </w:r>
          </w:p>
        </w:tc>
        <w:tc>
          <w:tcPr>
            <w:tcW w:w="369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0D4281" w:rsidTr="000D4281">
        <w:tc>
          <w:tcPr>
            <w:tcW w:w="17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Плавательные бассейны</w:t>
            </w:r>
          </w:p>
        </w:tc>
        <w:tc>
          <w:tcPr>
            <w:tcW w:w="19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м2зеркала воды на 1 тыс. чел.</w:t>
            </w:r>
          </w:p>
        </w:tc>
        <w:tc>
          <w:tcPr>
            <w:tcW w:w="20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20-25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17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Стадионы</w:t>
            </w:r>
          </w:p>
        </w:tc>
        <w:tc>
          <w:tcPr>
            <w:tcW w:w="19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объект</w:t>
            </w:r>
          </w:p>
        </w:tc>
        <w:tc>
          <w:tcPr>
            <w:tcW w:w="20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на крупный населенный пункт, численностью от 3000 человек, или группу населенных пунктов</w:t>
            </w:r>
          </w:p>
        </w:tc>
        <w:tc>
          <w:tcPr>
            <w:tcW w:w="36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IV. Объекты культуры и искусства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718"/>
        <w:gridCol w:w="1762"/>
        <w:gridCol w:w="1675"/>
        <w:gridCol w:w="3731"/>
      </w:tblGrid>
      <w:tr w:rsidR="000D4281" w:rsidTr="000D4281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Единица измерения</w:t>
            </w:r>
          </w:p>
        </w:tc>
        <w:tc>
          <w:tcPr>
            <w:tcW w:w="1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Значение</w:t>
            </w:r>
          </w:p>
        </w:tc>
        <w:tc>
          <w:tcPr>
            <w:tcW w:w="21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lastRenderedPageBreak/>
              <w:t>Муниципальные библиотеки городского поселения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21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0D4281" w:rsidTr="000D4281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Муниципальные библиотеки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сельского поселения: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стационарная опорная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библиотека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в населенных пунктах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библиотечный пункт нестационарного обслуживания</w:t>
            </w:r>
          </w:p>
        </w:tc>
        <w:tc>
          <w:tcPr>
            <w:tcW w:w="1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Муниципальные музеи городских поселений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на 25 тыс. человек</w:t>
            </w:r>
          </w:p>
        </w:tc>
        <w:tc>
          <w:tcPr>
            <w:tcW w:w="21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0D4281" w:rsidTr="000D4281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Муниципальные музеи сельских поселений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Муниципальные архивы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Объект на муниципальный район или городское поселение</w:t>
            </w:r>
          </w:p>
        </w:tc>
        <w:tc>
          <w:tcPr>
            <w:tcW w:w="1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1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Учреждения культурно-досугового типа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Зрительские места</w:t>
            </w:r>
          </w:p>
        </w:tc>
        <w:tc>
          <w:tcPr>
            <w:tcW w:w="1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80 на 1 тыс. жителей</w:t>
            </w:r>
          </w:p>
        </w:tc>
        <w:tc>
          <w:tcPr>
            <w:tcW w:w="21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Раздел V. Объекты образования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654"/>
        <w:gridCol w:w="1473"/>
        <w:gridCol w:w="1485"/>
        <w:gridCol w:w="4204"/>
        <w:gridCol w:w="70"/>
      </w:tblGrid>
      <w:tr w:rsidR="000D4281" w:rsidTr="000D4281">
        <w:tc>
          <w:tcPr>
            <w:tcW w:w="171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Объекты дошкольного образования</w:t>
            </w:r>
          </w:p>
        </w:tc>
        <w:tc>
          <w:tcPr>
            <w:tcW w:w="159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Число мест в расчете на 100 детей в возрасте от 0 до 7 лет</w:t>
            </w:r>
          </w:p>
        </w:tc>
        <w:tc>
          <w:tcPr>
            <w:tcW w:w="159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Значение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510"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Письмо Министерства образования и науки РФ от 4 мая 2016 г. N АК-950/02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 методических рекомендациях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Городские поселения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шт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Сельские поселения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шт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619"/>
        <w:gridCol w:w="1929"/>
        <w:gridCol w:w="1426"/>
        <w:gridCol w:w="3912"/>
      </w:tblGrid>
      <w:tr w:rsidR="000D4281" w:rsidTr="000D4281">
        <w:tc>
          <w:tcPr>
            <w:tcW w:w="169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Объекты общего образования</w:t>
            </w:r>
          </w:p>
        </w:tc>
        <w:tc>
          <w:tcPr>
            <w:tcW w:w="196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Число мест в  образовательных организациях в расчете на 100 детей в возрасте от 7 до 18 лет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Значение</w:t>
            </w:r>
          </w:p>
        </w:tc>
        <w:tc>
          <w:tcPr>
            <w:tcW w:w="43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438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Письмо Министерства образования и науки РФ от 4 мая 2016 г. N АК-950/02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 методических рекомендациях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 xml:space="preserve"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</w:t>
            </w:r>
            <w:r>
              <w:rPr>
                <w:color w:val="333333"/>
              </w:rPr>
              <w:lastRenderedPageBreak/>
              <w:t>сферы образования</w:t>
            </w:r>
          </w:p>
        </w:tc>
      </w:tr>
      <w:tr w:rsidR="000D4281" w:rsidTr="000D4281">
        <w:tc>
          <w:tcPr>
            <w:tcW w:w="16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Городское поселение</w:t>
            </w:r>
          </w:p>
        </w:tc>
        <w:tc>
          <w:tcPr>
            <w:tcW w:w="19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шт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95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16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Сельское поселение</w:t>
            </w:r>
          </w:p>
        </w:tc>
        <w:tc>
          <w:tcPr>
            <w:tcW w:w="19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шт</w:t>
            </w:r>
          </w:p>
        </w:tc>
        <w:tc>
          <w:tcPr>
            <w:tcW w:w="15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884"/>
        <w:gridCol w:w="2453"/>
        <w:gridCol w:w="1308"/>
        <w:gridCol w:w="3241"/>
      </w:tblGrid>
      <w:tr w:rsidR="000D4281" w:rsidTr="000D4281">
        <w:tc>
          <w:tcPr>
            <w:tcW w:w="192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Дополнительное  образование детей</w:t>
            </w:r>
          </w:p>
        </w:tc>
        <w:tc>
          <w:tcPr>
            <w:tcW w:w="250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Значение</w:t>
            </w:r>
          </w:p>
        </w:tc>
        <w:tc>
          <w:tcPr>
            <w:tcW w:w="37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75</w:t>
            </w:r>
          </w:p>
        </w:tc>
        <w:tc>
          <w:tcPr>
            <w:tcW w:w="372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Письмо Министерства образования и науки РФ от 4 мая 2016 г. № АК-950/02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 методических рекомендациях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0D4281" w:rsidTr="000D4281">
        <w:tc>
          <w:tcPr>
            <w:tcW w:w="19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5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19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45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19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19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5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Число мест на программах дополнительного образования, реализуемых на базе  образовательных организаций (за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19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19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4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2438"/>
        <w:gridCol w:w="1311"/>
        <w:gridCol w:w="2219"/>
        <w:gridCol w:w="2472"/>
      </w:tblGrid>
      <w:tr w:rsidR="000D4281" w:rsidTr="000D4281"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Наименование объектов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Единица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измерения</w:t>
            </w:r>
          </w:p>
        </w:tc>
        <w:tc>
          <w:tcPr>
            <w:tcW w:w="18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Величина</w:t>
            </w:r>
          </w:p>
        </w:tc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Дошкольные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</w:p>
        </w:tc>
        <w:tc>
          <w:tcPr>
            <w:tcW w:w="18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500</w:t>
            </w:r>
          </w:p>
        </w:tc>
        <w:tc>
          <w:tcPr>
            <w:tcW w:w="283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0D4281" w:rsidTr="000D4281"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</w:p>
        </w:tc>
        <w:tc>
          <w:tcPr>
            <w:tcW w:w="18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I- II ступень обучения*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</w:p>
        </w:tc>
        <w:tc>
          <w:tcPr>
            <w:tcW w:w="18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500**в городском поселении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 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III ступень обучения*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</w:p>
        </w:tc>
        <w:tc>
          <w:tcPr>
            <w:tcW w:w="18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500** в городском поселении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Организации дополнительного образования для детей</w:t>
            </w:r>
          </w:p>
        </w:tc>
        <w:tc>
          <w:tcPr>
            <w:tcW w:w="340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Не нормируется</w:t>
            </w:r>
          </w:p>
        </w:tc>
        <w:tc>
          <w:tcPr>
            <w:tcW w:w="28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*I ступень (начальное общее образование) — 4 года;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II ступень (основное общее образование) — 5 лет;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III ступень (среднее (полное) общее образование) — 2 года.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VI. Объекты услуг общественного питания, торговли, бытового обслуживания и иных услуг для населения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pPr w:leftFromText="45" w:rightFromText="45" w:vertAnchor="text"/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42"/>
        <w:gridCol w:w="1906"/>
        <w:gridCol w:w="1443"/>
        <w:gridCol w:w="1174"/>
        <w:gridCol w:w="3921"/>
      </w:tblGrid>
      <w:tr w:rsidR="000D4281" w:rsidTr="000D4281"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№ п/п</w:t>
            </w:r>
          </w:p>
        </w:tc>
        <w:tc>
          <w:tcPr>
            <w:tcW w:w="10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Наименование объектов</w:t>
            </w:r>
          </w:p>
        </w:tc>
        <w:tc>
          <w:tcPr>
            <w:tcW w:w="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Единица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измерения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Величина</w:t>
            </w:r>
          </w:p>
        </w:tc>
        <w:tc>
          <w:tcPr>
            <w:tcW w:w="21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2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10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Магазины</w:t>
            </w:r>
          </w:p>
        </w:tc>
        <w:tc>
          <w:tcPr>
            <w:tcW w:w="7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м2 торговой площади на 1 тыс. чел.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280 городские поселения</w:t>
            </w:r>
          </w:p>
        </w:tc>
        <w:tc>
          <w:tcPr>
            <w:tcW w:w="21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10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Предприятия общественного питания</w:t>
            </w:r>
          </w:p>
        </w:tc>
        <w:tc>
          <w:tcPr>
            <w:tcW w:w="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мест на 1 тыс. чел.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10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Предприятия бытового обслуживания</w:t>
            </w:r>
          </w:p>
        </w:tc>
        <w:tc>
          <w:tcPr>
            <w:tcW w:w="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рабочих мест на 1 тыс. чел.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10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Отделение связи</w:t>
            </w:r>
          </w:p>
        </w:tc>
        <w:tc>
          <w:tcPr>
            <w:tcW w:w="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объект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0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Отделения банков, операционная касса</w:t>
            </w:r>
          </w:p>
        </w:tc>
        <w:tc>
          <w:tcPr>
            <w:tcW w:w="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операционная касса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 на 10 тысяч человек</w:t>
            </w:r>
          </w:p>
        </w:tc>
        <w:tc>
          <w:tcPr>
            <w:tcW w:w="21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723"/>
        <w:gridCol w:w="2372"/>
        <w:gridCol w:w="1458"/>
        <w:gridCol w:w="2190"/>
        <w:gridCol w:w="2143"/>
      </w:tblGrid>
      <w:tr w:rsidR="000D4281" w:rsidTr="000D4281"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№ п/п</w:t>
            </w:r>
          </w:p>
        </w:tc>
        <w:tc>
          <w:tcPr>
            <w:tcW w:w="1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Наименование объектов</w:t>
            </w:r>
          </w:p>
        </w:tc>
        <w:tc>
          <w:tcPr>
            <w:tcW w:w="8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Единица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измерения</w:t>
            </w:r>
          </w:p>
        </w:tc>
        <w:tc>
          <w:tcPr>
            <w:tcW w:w="12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Величина</w:t>
            </w:r>
          </w:p>
        </w:tc>
        <w:tc>
          <w:tcPr>
            <w:tcW w:w="11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1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Магазины</w:t>
            </w:r>
          </w:p>
        </w:tc>
        <w:tc>
          <w:tcPr>
            <w:tcW w:w="8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</w:p>
        </w:tc>
        <w:tc>
          <w:tcPr>
            <w:tcW w:w="120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в городских населенных пунктах </w:t>
            </w:r>
            <w:r>
              <w:rPr>
                <w:color w:val="333333"/>
              </w:rPr>
              <w:lastRenderedPageBreak/>
              <w:t>–500 – 800, в сельских населенных пунктах –2000</w:t>
            </w:r>
          </w:p>
        </w:tc>
        <w:tc>
          <w:tcPr>
            <w:tcW w:w="11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СП 42.13330.2011 Градостроительство. </w:t>
            </w:r>
            <w:r>
              <w:rPr>
                <w:color w:val="333333"/>
              </w:rPr>
              <w:lastRenderedPageBreak/>
              <w:t>Планировка и застройка городских и сельских поселений (пункт 10.4, таблица 5)</w:t>
            </w:r>
          </w:p>
        </w:tc>
      </w:tr>
      <w:tr w:rsidR="000D4281" w:rsidTr="000D4281"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1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 xml:space="preserve">Предприятия </w:t>
            </w:r>
            <w:r>
              <w:rPr>
                <w:color w:val="333333"/>
              </w:rPr>
              <w:lastRenderedPageBreak/>
              <w:t>общественного питания</w:t>
            </w:r>
          </w:p>
        </w:tc>
        <w:tc>
          <w:tcPr>
            <w:tcW w:w="8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м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lastRenderedPageBreak/>
              <w:t>3.</w:t>
            </w:r>
          </w:p>
        </w:tc>
        <w:tc>
          <w:tcPr>
            <w:tcW w:w="1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Предприятия бытового обслуживания</w:t>
            </w:r>
          </w:p>
        </w:tc>
        <w:tc>
          <w:tcPr>
            <w:tcW w:w="8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1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Отделение связи</w:t>
            </w:r>
          </w:p>
        </w:tc>
        <w:tc>
          <w:tcPr>
            <w:tcW w:w="8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</w:p>
        </w:tc>
        <w:tc>
          <w:tcPr>
            <w:tcW w:w="12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VII. Объекты автомобильного транспорта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Общая протяженность транспортной и улично-дорожной сети поселения составляет 47,7 км, включая улично-дорожную сеть и магистральные дороги. Улично-дорожная сеть составляет 33,9 км.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Общая площадь территории поселка Пристень – 6100 кв. км. Существующая площадь населенных пунктов составляет 6100 кв.км.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 5,56 км/км2.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Затраты времени на передвижение от мест проживания до мест работы для 90% трудящихся (в один конец) не должны превышать30мин. 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Число автомобилей, прибывающих в город-центр (районный центр) из других населенных пунктов  системы расселения, и транзитных определяется специальным расчетом.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Сеть улиц и дорог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VIII. Объекты электроснабжения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для жилищно-коммунального сектора - в соответствии с </w:t>
      </w:r>
      <w:hyperlink r:id="rId12" w:tooltip="Инструкция по проектированию городских электрических сетей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РД 34.20.185-94</w:t>
        </w:r>
      </w:hyperlink>
      <w:r>
        <w:rPr>
          <w:rFonts w:ascii="Segoe UI" w:hAnsi="Segoe UI" w:cs="Segoe UI"/>
          <w:color w:val="333333"/>
          <w:sz w:val="14"/>
          <w:szCs w:val="14"/>
        </w:rPr>
        <w:t> "Инструкция по проектированию городских электрических сетей" и СП 31-110-2003 г.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18 - Обоснование укрупненных показателей электропотребления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2330"/>
        <w:gridCol w:w="2208"/>
        <w:gridCol w:w="1761"/>
        <w:gridCol w:w="2517"/>
        <w:gridCol w:w="70"/>
      </w:tblGrid>
      <w:tr w:rsidR="000D4281" w:rsidTr="000D4281">
        <w:trPr>
          <w:trHeight w:val="240"/>
        </w:trPr>
        <w:tc>
          <w:tcPr>
            <w:tcW w:w="184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Категория 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населенного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  пункта  </w:t>
            </w:r>
          </w:p>
        </w:tc>
        <w:tc>
          <w:tcPr>
            <w:tcW w:w="369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70"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Электропотребление, кв-ч/год на 1чел</w:t>
            </w:r>
          </w:p>
        </w:tc>
        <w:tc>
          <w:tcPr>
            <w:tcW w:w="213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Использование максимума электрической нагрузки, ч/год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1110"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Региональные нормативы градостроительного проектирования, утвержденными   постановлением Администрации Курской области  от 15.11. 2011года №577-па, таблица 43.</w:t>
            </w: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1500"/>
        </w:trPr>
        <w:tc>
          <w:tcPr>
            <w:tcW w:w="18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Поселки и сельские поселения (без кондиционеров)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40"/>
        </w:trPr>
        <w:tc>
          <w:tcPr>
            <w:tcW w:w="18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Не оборудованные стационарными электроплитами           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950</w:t>
            </w:r>
          </w:p>
        </w:tc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4100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rPr>
          <w:trHeight w:val="240"/>
        </w:trPr>
        <w:tc>
          <w:tcPr>
            <w:tcW w:w="18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  Оборудованные электроплитами (100%)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1350</w:t>
            </w:r>
          </w:p>
        </w:tc>
        <w:tc>
          <w:tcPr>
            <w:tcW w:w="21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4400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Максимально допустимый уровень территориальной доступности объектов электроснабжения не нормируется.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 IX. Объекты теплоснабжения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СП 42.13330.2011 "Градостроительство. Планировка и застройка городских и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сельских поселений. Актуализированная редакция СНиП 2.07.01-89*";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СП 131.13330.2012 «Строительная климатология» (актуализированная версия) 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СП 36.13330.2012 "Магистральные трубопроводы";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СН 452-73 "Нормы отвода земель для магистральных трубопроводов";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СП 60.13330.2012 "Отопление, вентиляция и кондиционирование";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СП 124.13330.2012 "Тепловые сети";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СП 89.13330.2012 "Котельные установки";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СП 41-101-95 "Проектирование тепловых пунктов";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3998"/>
        <w:gridCol w:w="1066"/>
        <w:gridCol w:w="889"/>
        <w:gridCol w:w="800"/>
        <w:gridCol w:w="800"/>
        <w:gridCol w:w="1333"/>
      </w:tblGrid>
      <w:tr w:rsidR="000D4281" w:rsidTr="000D4281">
        <w:tc>
          <w:tcPr>
            <w:tcW w:w="5000" w:type="pct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0D4281" w:rsidTr="000D4281">
        <w:tc>
          <w:tcPr>
            <w:tcW w:w="22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Этажность жилых зданий</w:t>
            </w:r>
          </w:p>
        </w:tc>
        <w:tc>
          <w:tcPr>
            <w:tcW w:w="2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Расчетная температура наружного воздуха для проектирования отопления  , °C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-20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-25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-30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-35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-40</w:t>
            </w:r>
          </w:p>
        </w:tc>
      </w:tr>
      <w:tr w:rsidR="000D4281" w:rsidTr="000D4281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64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67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72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77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81</w:t>
            </w:r>
          </w:p>
        </w:tc>
      </w:tr>
      <w:tr w:rsidR="000D4281" w:rsidTr="000D4281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51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59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64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67</w:t>
            </w:r>
          </w:p>
        </w:tc>
      </w:tr>
      <w:tr w:rsidR="000D4281" w:rsidTr="000D4281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4-6-этажные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42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49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55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59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 Расчетные тепловые нагрузки определяются: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   либо по проектам-аналогам.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Размеры земельных участков для отдельно стоящих котельных, размещаемых в районах жилой застройки, следует принимать по </w:t>
      </w:r>
      <w:hyperlink r:id="rId13" w:anchor="Par2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таблице 40</w:t>
        </w:r>
      </w:hyperlink>
      <w:r>
        <w:rPr>
          <w:rFonts w:ascii="Segoe UI" w:hAnsi="Segoe UI" w:cs="Segoe UI"/>
          <w:color w:val="333333"/>
          <w:sz w:val="14"/>
          <w:szCs w:val="14"/>
        </w:rPr>
        <w:t>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Максимально допустимый уровень территориальной доступности объектов теплоснабжения не нормируется.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X. Объекты газоснабжения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3909"/>
        <w:gridCol w:w="1515"/>
        <w:gridCol w:w="1304"/>
        <w:gridCol w:w="2158"/>
      </w:tblGrid>
      <w:tr w:rsidR="000D4281" w:rsidTr="000D4281">
        <w:tc>
          <w:tcPr>
            <w:tcW w:w="4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lastRenderedPageBreak/>
              <w:t>Наименование норматива,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(потребители ресурса) 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Величина</w:t>
            </w:r>
          </w:p>
        </w:tc>
        <w:tc>
          <w:tcPr>
            <w:tcW w:w="22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4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м3 / год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на 1 чел.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120</w:t>
            </w:r>
          </w:p>
        </w:tc>
        <w:tc>
          <w:tcPr>
            <w:tcW w:w="222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Согласно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СП 124.13330.2012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СП 42-101-2003</w:t>
            </w:r>
          </w:p>
        </w:tc>
      </w:tr>
      <w:tr w:rsidR="000D4281" w:rsidTr="000D4281">
        <w:tc>
          <w:tcPr>
            <w:tcW w:w="4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м3 / год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на 1 чел.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294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4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При отсутствии всяких видов горячего водоснабжения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(в сельской местности).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м3 / год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на 1 чел.</w:t>
            </w:r>
          </w:p>
        </w:tc>
        <w:tc>
          <w:tcPr>
            <w:tcW w:w="13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176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Максимально допустимый уровень территориальной доступности объектов газоснабжения не нормируется.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XI. Объекты водоснабжения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937"/>
        <w:gridCol w:w="3949"/>
      </w:tblGrid>
      <w:tr w:rsidR="000D4281" w:rsidTr="000D4281">
        <w:tc>
          <w:tcPr>
            <w:tcW w:w="2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Степень благоустройства районов жилой застройки</w:t>
            </w:r>
          </w:p>
        </w:tc>
        <w:tc>
          <w:tcPr>
            <w:tcW w:w="22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0D4281" w:rsidTr="000D4281">
        <w:tc>
          <w:tcPr>
            <w:tcW w:w="2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Застройка зданиями, оборудованными внутренним водопроводом и канализацией: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без ванн</w:t>
            </w:r>
          </w:p>
        </w:tc>
        <w:tc>
          <w:tcPr>
            <w:tcW w:w="22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125–160</w:t>
            </w:r>
          </w:p>
        </w:tc>
      </w:tr>
      <w:tr w:rsidR="000D4281" w:rsidTr="000D4281">
        <w:tc>
          <w:tcPr>
            <w:tcW w:w="2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 ванными и местными водонагревателями</w:t>
            </w:r>
          </w:p>
        </w:tc>
        <w:tc>
          <w:tcPr>
            <w:tcW w:w="22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160–230</w:t>
            </w:r>
          </w:p>
        </w:tc>
      </w:tr>
      <w:tr w:rsidR="000D4281" w:rsidTr="000D4281">
        <w:tc>
          <w:tcPr>
            <w:tcW w:w="27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 централизованным горячим водоснабжением</w:t>
            </w:r>
          </w:p>
        </w:tc>
        <w:tc>
          <w:tcPr>
            <w:tcW w:w="22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230–350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Максимально допустимый уровень территориальной доступности объектов водоснабжения не нормируется.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Раздел XII. Объекты водоотведения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поселка Пристень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СП 30.13330.2010* "СНиП 2.04.01-85* Внутренний водопровод и канализация зданий"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СП 32.13330.2012 Канализация. Наружные сети и сооружения.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СП 42.13330.2011 Градостроительство. Планировка и застройка городских и сельских поселений.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СанПиН 2.1.5.980-00 Гигиенические требования к охране поверхностных вод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наличии канализационных стоков должны быть предусмотрены очистные сооружения.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Максимально допустимый уровень территориальной доступности объектов водоотведения не нормируется.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XIII. Объекты, предназначенные для утилизации и переработки бытовых и промышленных отходов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301"/>
        <w:gridCol w:w="1036"/>
        <w:gridCol w:w="1308"/>
        <w:gridCol w:w="2241"/>
      </w:tblGrid>
      <w:tr w:rsidR="000D4281" w:rsidTr="000D4281">
        <w:tc>
          <w:tcPr>
            <w:tcW w:w="250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Бытовые отходы</w:t>
            </w:r>
          </w:p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55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Количество бытовых отходов, чел./год*</w:t>
            </w:r>
          </w:p>
        </w:tc>
        <w:tc>
          <w:tcPr>
            <w:tcW w:w="8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кг</w:t>
            </w:r>
          </w:p>
        </w:tc>
        <w:tc>
          <w:tcPr>
            <w:tcW w:w="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л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Твердые: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0D4281" w:rsidTr="000D4281">
        <w:tc>
          <w:tcPr>
            <w:tcW w:w="2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190-225</w:t>
            </w:r>
          </w:p>
        </w:tc>
        <w:tc>
          <w:tcPr>
            <w:tcW w:w="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от прочих жилых зданий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300-450</w:t>
            </w:r>
          </w:p>
        </w:tc>
        <w:tc>
          <w:tcPr>
            <w:tcW w:w="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Общее количество по городу с учетом общественных зданий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280-300</w:t>
            </w:r>
          </w:p>
        </w:tc>
        <w:tc>
          <w:tcPr>
            <w:tcW w:w="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Жидкие из выгребов (при отсутствии канализации)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Смет с 1 м2 твердых покрытий улиц, площадей и парков</w:t>
            </w:r>
          </w:p>
        </w:tc>
        <w:tc>
          <w:tcPr>
            <w:tcW w:w="7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5-15</w:t>
            </w:r>
          </w:p>
        </w:tc>
        <w:tc>
          <w:tcPr>
            <w:tcW w:w="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8-20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5117"/>
        <w:gridCol w:w="3769"/>
      </w:tblGrid>
      <w:tr w:rsidR="000D4281" w:rsidTr="000D4281">
        <w:tc>
          <w:tcPr>
            <w:tcW w:w="2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Предприятия и сооружения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 </w:t>
            </w:r>
          </w:p>
        </w:tc>
        <w:tc>
          <w:tcPr>
            <w:tcW w:w="2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Площади земельных участков на 1000 т бытовых отходов, га</w:t>
            </w:r>
          </w:p>
        </w:tc>
      </w:tr>
      <w:tr w:rsidR="000D4281" w:rsidTr="000D4281">
        <w:tc>
          <w:tcPr>
            <w:tcW w:w="2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lastRenderedPageBreak/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 w:rsidR="000D4281" w:rsidTr="000D4281">
        <w:tc>
          <w:tcPr>
            <w:tcW w:w="2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до 100</w:t>
            </w:r>
          </w:p>
        </w:tc>
        <w:tc>
          <w:tcPr>
            <w:tcW w:w="2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0,05</w:t>
            </w:r>
          </w:p>
        </w:tc>
      </w:tr>
      <w:tr w:rsidR="000D4281" w:rsidTr="000D4281">
        <w:tc>
          <w:tcPr>
            <w:tcW w:w="2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св. 100</w:t>
            </w:r>
          </w:p>
        </w:tc>
        <w:tc>
          <w:tcPr>
            <w:tcW w:w="2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0,05</w:t>
            </w:r>
          </w:p>
        </w:tc>
      </w:tr>
      <w:tr w:rsidR="000D4281" w:rsidTr="000D4281">
        <w:tc>
          <w:tcPr>
            <w:tcW w:w="2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Склады компоста</w:t>
            </w:r>
          </w:p>
        </w:tc>
        <w:tc>
          <w:tcPr>
            <w:tcW w:w="2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0,04</w:t>
            </w:r>
          </w:p>
        </w:tc>
      </w:tr>
      <w:tr w:rsidR="000D4281" w:rsidTr="000D4281">
        <w:tc>
          <w:tcPr>
            <w:tcW w:w="2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Полигоны*</w:t>
            </w:r>
          </w:p>
        </w:tc>
        <w:tc>
          <w:tcPr>
            <w:tcW w:w="2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0,02-0,05</w:t>
            </w:r>
          </w:p>
        </w:tc>
      </w:tr>
      <w:tr w:rsidR="000D4281" w:rsidTr="000D4281">
        <w:tc>
          <w:tcPr>
            <w:tcW w:w="2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Поля компостирования</w:t>
            </w:r>
          </w:p>
        </w:tc>
        <w:tc>
          <w:tcPr>
            <w:tcW w:w="2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0,5-1</w:t>
            </w:r>
          </w:p>
        </w:tc>
      </w:tr>
      <w:tr w:rsidR="000D4281" w:rsidTr="000D4281">
        <w:tc>
          <w:tcPr>
            <w:tcW w:w="2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Мусороперегрузочные станции</w:t>
            </w:r>
          </w:p>
        </w:tc>
        <w:tc>
          <w:tcPr>
            <w:tcW w:w="2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0,04</w:t>
            </w:r>
          </w:p>
        </w:tc>
      </w:tr>
      <w:tr w:rsidR="000D4281" w:rsidTr="000D4281">
        <w:tc>
          <w:tcPr>
            <w:tcW w:w="2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Сливные станции</w:t>
            </w:r>
          </w:p>
        </w:tc>
        <w:tc>
          <w:tcPr>
            <w:tcW w:w="2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0,02</w:t>
            </w:r>
          </w:p>
        </w:tc>
      </w:tr>
      <w:tr w:rsidR="000D4281" w:rsidTr="000D4281">
        <w:tc>
          <w:tcPr>
            <w:tcW w:w="28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0,3</w:t>
            </w:r>
          </w:p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* - наименьшие размеры площадей полигонов относятся к сооружениям, размещаемым на песчаных грунтах.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Услуги по вывозу твердых и жидких бытовых отходов должны оказываться в следующие сроки: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не реже одного раза в три дня - при температуре воздуха до 14 °С;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ежедневно - при температуре воздуха выше 14 °С;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18. Расчетные показатели минимально допустимого уровня обеспеченности 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2521"/>
        <w:gridCol w:w="1514"/>
        <w:gridCol w:w="1371"/>
        <w:gridCol w:w="3480"/>
      </w:tblGrid>
      <w:tr w:rsidR="000D4281" w:rsidTr="000D4281">
        <w:tc>
          <w:tcPr>
            <w:tcW w:w="262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Наименование объекта</w:t>
            </w:r>
          </w:p>
        </w:tc>
        <w:tc>
          <w:tcPr>
            <w:tcW w:w="29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Минимально допустимый уровень обеспеченности</w:t>
            </w:r>
          </w:p>
        </w:tc>
        <w:tc>
          <w:tcPr>
            <w:tcW w:w="361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Обоснование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Величина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6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Кладбища традиционного захоронения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га на 1 тыс. чел.</w:t>
            </w:r>
          </w:p>
        </w:tc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0,24*</w:t>
            </w:r>
          </w:p>
        </w:tc>
        <w:tc>
          <w:tcPr>
            <w:tcW w:w="361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Ж)</w:t>
            </w:r>
          </w:p>
        </w:tc>
      </w:tr>
      <w:tr w:rsidR="000D4281" w:rsidTr="000D4281">
        <w:tc>
          <w:tcPr>
            <w:tcW w:w="26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Кладбища урновых захоронений после кремации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га на 1 тыс. чел.</w:t>
            </w:r>
          </w:p>
        </w:tc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0,02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  <w:tr w:rsidR="000D4281" w:rsidTr="000D4281">
        <w:tc>
          <w:tcPr>
            <w:tcW w:w="26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Бюро похоронного обслуживания</w:t>
            </w:r>
          </w:p>
        </w:tc>
        <w:tc>
          <w:tcPr>
            <w:tcW w:w="15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объект на поселение</w:t>
            </w:r>
          </w:p>
        </w:tc>
        <w:tc>
          <w:tcPr>
            <w:tcW w:w="14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XV. Зоны рекреационного назначения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В состав зон рекреационного назначения могут включаться зоны в границах территорий,  занятых городскими лесами, скверами, парками, садами, прудами, озерами, водохранилищами, пляжами, 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2646"/>
        <w:gridCol w:w="1519"/>
        <w:gridCol w:w="1245"/>
        <w:gridCol w:w="1648"/>
        <w:gridCol w:w="1182"/>
      </w:tblGrid>
      <w:tr w:rsidR="000D4281" w:rsidTr="000D4281">
        <w:tc>
          <w:tcPr>
            <w:tcW w:w="70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Наименование объекта</w:t>
            </w:r>
          </w:p>
        </w:tc>
        <w:tc>
          <w:tcPr>
            <w:tcW w:w="288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Минимально допустимый уровень обеспеченности</w:t>
            </w:r>
          </w:p>
        </w:tc>
        <w:tc>
          <w:tcPr>
            <w:tcW w:w="29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Максимально допустимый уровень территориальной доступности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Величина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Величина</w:t>
            </w:r>
          </w:p>
        </w:tc>
      </w:tr>
      <w:tr w:rsidR="000D4281" w:rsidTr="000D4281"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27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Объекты массового кратковременного отдыха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м2 на 1 посетителя</w:t>
            </w:r>
          </w:p>
        </w:tc>
        <w:tc>
          <w:tcPr>
            <w:tcW w:w="1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500 - 1000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мин</w:t>
            </w:r>
          </w:p>
        </w:tc>
        <w:tc>
          <w:tcPr>
            <w:tcW w:w="12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</w:tr>
      <w:tr w:rsidR="000D4281" w:rsidTr="000D4281">
        <w:tc>
          <w:tcPr>
            <w:tcW w:w="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27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Речные и озерные пляжи</w:t>
            </w:r>
          </w:p>
        </w:tc>
        <w:tc>
          <w:tcPr>
            <w:tcW w:w="15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м2 на 1 посетителя</w:t>
            </w:r>
          </w:p>
        </w:tc>
        <w:tc>
          <w:tcPr>
            <w:tcW w:w="12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8 (в зонах отдыха)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мин</w:t>
            </w:r>
          </w:p>
        </w:tc>
        <w:tc>
          <w:tcPr>
            <w:tcW w:w="12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поселка Пристень муниципального образования, утвержденными решением Собранием депутатов поселка Пристень №8 от 23.03.2012 года.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2516"/>
        <w:gridCol w:w="1187"/>
        <w:gridCol w:w="1824"/>
        <w:gridCol w:w="1201"/>
        <w:gridCol w:w="1628"/>
      </w:tblGrid>
      <w:tr w:rsidR="000D4281" w:rsidTr="000D4281">
        <w:tc>
          <w:tcPr>
            <w:tcW w:w="55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Наименование объекта</w:t>
            </w:r>
          </w:p>
        </w:tc>
        <w:tc>
          <w:tcPr>
            <w:tcW w:w="310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Максимально допустимый уровень территориальной доступности</w:t>
            </w:r>
          </w:p>
        </w:tc>
      </w:tr>
      <w:tr w:rsidR="000D4281" w:rsidTr="000D428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D4281" w:rsidRDefault="000D4281">
            <w:pPr>
              <w:rPr>
                <w:color w:val="333333"/>
              </w:rPr>
            </w:pP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Единица измерения</w:t>
            </w:r>
          </w:p>
        </w:tc>
        <w:tc>
          <w:tcPr>
            <w:tcW w:w="19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Величина</w:t>
            </w:r>
          </w:p>
        </w:tc>
        <w:tc>
          <w:tcPr>
            <w:tcW w:w="12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Величина</w:t>
            </w:r>
          </w:p>
        </w:tc>
      </w:tr>
      <w:tr w:rsidR="000D4281" w:rsidTr="000D4281">
        <w:tc>
          <w:tcPr>
            <w:tcW w:w="5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26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Озелененные территории общего пользования (парки, скверы, бульвары)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м2/чел.</w:t>
            </w:r>
          </w:p>
        </w:tc>
        <w:tc>
          <w:tcPr>
            <w:tcW w:w="19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8-10 (для малых городов), 12 (для сельских поселений)</w:t>
            </w:r>
          </w:p>
        </w:tc>
        <w:tc>
          <w:tcPr>
            <w:tcW w:w="12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мин</w:t>
            </w:r>
          </w:p>
        </w:tc>
        <w:tc>
          <w:tcPr>
            <w:tcW w:w="16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D4281" w:rsidRDefault="000D428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15 (для парков районного значения)</w:t>
            </w:r>
          </w:p>
        </w:tc>
      </w:tr>
    </w:tbl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21. Расчетные показатели минимально допустимого уровня обеспеченности  и максимально допустимого уровня территориальной доступности городских лесов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0D4281" w:rsidRDefault="000D4281" w:rsidP="000D428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3A3556" w:rsidRPr="000D4281" w:rsidRDefault="003A3556" w:rsidP="000D4281"/>
    <w:sectPr w:rsidR="003A3556" w:rsidRPr="000D428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0C" w:rsidRDefault="0030110C" w:rsidP="005B4F71">
      <w:r>
        <w:separator/>
      </w:r>
    </w:p>
  </w:endnote>
  <w:endnote w:type="continuationSeparator" w:id="0">
    <w:p w:rsidR="0030110C" w:rsidRDefault="0030110C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0C" w:rsidRDefault="0030110C" w:rsidP="005B4F71">
      <w:r>
        <w:separator/>
      </w:r>
    </w:p>
  </w:footnote>
  <w:footnote w:type="continuationSeparator" w:id="0">
    <w:p w:rsidR="0030110C" w:rsidRDefault="0030110C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5D6A"/>
    <w:multiLevelType w:val="multilevel"/>
    <w:tmpl w:val="01C8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F5251"/>
    <w:multiLevelType w:val="multilevel"/>
    <w:tmpl w:val="6CC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C2E1D"/>
    <w:multiLevelType w:val="multilevel"/>
    <w:tmpl w:val="B5CC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C11A6"/>
    <w:multiLevelType w:val="multilevel"/>
    <w:tmpl w:val="9C78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35C3C"/>
    <w:rsid w:val="00041416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110C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2D0AF4ED4B68B315CD3E9E93D61B2B17C27B3CCCF0E09t9e9H" TargetMode="External"/><Relationship Id="rId13" Type="http://schemas.openxmlformats.org/officeDocument/2006/relationships/hyperlink" Target="file:///G:\%D0%9C%D0%BE%D0%B8%20%D0%B4%D0%BE%D0%BA%D1%83%D0%BC%D0%B5%D0%BD%D1%82%D1%8B%20%D0%BA%D0%B0%D1%82%D1%8B%D1%85%D0%B8%D0%BD\%D0%93%D0%B5%D0%BD%D0%B5%D1%80%D0%B0%D0%BB%D1%8C%D0%BD%D1%8B%D0%B9%20%D0%BF%D0%BB%D0%B0%D0%BD\%D0%A0%D0%B5%D1%88%D0%B5%D0%BD%D0%B8%D0%B5%2072%20%D0%BE%D1%82%2018.10.2017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TEMP\3878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B865D9525C42E1396C5D7919EB9E0808DAAE4ED4B68B315CD3E9E93D61B2B17C27B3CCCF0E09t9e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B865D9525C42E1396C5D7919EB9E080AD9A148D7BBD63B548AE5EB3A6EEDA67B6EBFCDCF0E089At3e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B865D9525C42E1396C5D7919EB9E080AD8A940DFBDD63B548AE5EB3At6e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0857-3CDF-49EF-913F-C13EA605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25</Pages>
  <Words>10470</Words>
  <Characters>59679</Characters>
  <Application>Microsoft Office Word</Application>
  <DocSecurity>0</DocSecurity>
  <Lines>497</Lines>
  <Paragraphs>140</Paragraphs>
  <ScaleCrop>false</ScaleCrop>
  <Company>===</Company>
  <LinksUpToDate>false</LinksUpToDate>
  <CharactersWithSpaces>70009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69</cp:revision>
  <cp:lastPrinted>2023-04-20T06:24:00Z</cp:lastPrinted>
  <dcterms:created xsi:type="dcterms:W3CDTF">2023-08-10T11:02:00Z</dcterms:created>
  <dcterms:modified xsi:type="dcterms:W3CDTF">2023-08-10T19:37:00Z</dcterms:modified>
</cp:coreProperties>
</file>